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B8" w:rsidRPr="0039125C" w:rsidRDefault="006E2CB8" w:rsidP="008F4B0C">
      <w:pPr>
        <w:spacing w:before="120" w:after="0" w:line="240" w:lineRule="auto"/>
        <w:jc w:val="center"/>
        <w:rPr>
          <w:rFonts w:ascii="Times New Roman" w:eastAsia="Times New Roman" w:hAnsi="Times New Roman"/>
          <w:b/>
          <w:sz w:val="28"/>
          <w:szCs w:val="28"/>
          <w:lang w:val="uk-UA"/>
        </w:rPr>
      </w:pPr>
    </w:p>
    <w:p w:rsidR="5987D287" w:rsidRDefault="5987D287" w:rsidP="5987D287">
      <w:pPr>
        <w:spacing w:before="120" w:after="0" w:line="240" w:lineRule="auto"/>
        <w:ind w:right="5850"/>
        <w:jc w:val="both"/>
        <w:rPr>
          <w:rFonts w:ascii="Times New Roman" w:eastAsia="Times New Roman" w:hAnsi="Times New Roman"/>
          <w:sz w:val="24"/>
          <w:szCs w:val="24"/>
          <w:lang w:val="uk-UA"/>
        </w:rPr>
      </w:pPr>
      <w:r w:rsidRPr="5987D287">
        <w:rPr>
          <w:rFonts w:ascii="Times New Roman" w:eastAsia="Times New Roman" w:hAnsi="Times New Roman"/>
          <w:sz w:val="24"/>
          <w:szCs w:val="24"/>
          <w:lang w:val="uk-UA"/>
        </w:rPr>
        <w:t>Про розгляд звернення Професійної спілки працівників освіти і науки України від 19.04.2022 № 02-7/121</w:t>
      </w:r>
    </w:p>
    <w:p w:rsidR="0039125C" w:rsidRDefault="0039125C" w:rsidP="0039125C">
      <w:pPr>
        <w:spacing w:after="0" w:line="240" w:lineRule="auto"/>
        <w:ind w:firstLine="709"/>
        <w:jc w:val="both"/>
        <w:rPr>
          <w:rFonts w:ascii="Times New Roman" w:eastAsia="Times New Roman" w:hAnsi="Times New Roman"/>
          <w:sz w:val="28"/>
          <w:szCs w:val="28"/>
          <w:lang w:val="uk-UA"/>
        </w:rPr>
      </w:pPr>
    </w:p>
    <w:p w:rsidR="5987D287" w:rsidRPr="0039125C" w:rsidRDefault="5987D287"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За результатами розгляду, у межах повноважень Департаменту правового захисту, листа  Професійної спілки працівників освіти і науки України з проханням звернутися до Голови Верховної Ради України, Голови Комітету з питань фінансів, податкової та митної політики, Державної податкової служби України та інших уповноважених органів в разі необхідності з метою приведення у відповідність до волі законодавця оприлюдненої норми підпункту 170.07.2 Податкового кодексу України (із внесеними змінами Законом України від 15.03.2022 № 2120-ІХ), які стосуються звільнення від оподаткування профспілкових виплат, здійснених внаслідок збройної агресії РФ, повідомляємо про таке.</w:t>
      </w:r>
    </w:p>
    <w:p w:rsidR="5987D287" w:rsidRPr="0039125C" w:rsidRDefault="5987D287" w:rsidP="0039125C">
      <w:pPr>
        <w:spacing w:after="0" w:line="240" w:lineRule="auto"/>
        <w:ind w:firstLine="709"/>
        <w:jc w:val="both"/>
        <w:rPr>
          <w:rFonts w:ascii="Times New Roman" w:eastAsia="Times New Roman" w:hAnsi="Times New Roman"/>
          <w:sz w:val="28"/>
          <w:szCs w:val="28"/>
          <w:lang w:val="uk-UA"/>
        </w:rPr>
      </w:pP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Підпунктом "в" підпункту 165.1.54 пункту 165.1 статті 165 Податкового кодексу України визначено, що до загального місячного (річного) оподатковуваного доходу платника податку не включаються доходи: сума (вартість) благодійної допомоги, виплаченої (наданої) благодійниками, у тому числі благодійниками - фізичними особами, у порядку, визначеному Законом України “Про благодійну діяльність та благодійні організації”, протягом дії правового режиму воєнного, надзвичайного стану, на користь фізичних осіб, які мешкають (мешкали) на території населених пунктів, де проводяться (проводилися) бойові дії, та/або які вимушено покинули місце проживання у зв’язку з проведенням бойових дій у таких населених пунктах.</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Згідно з підпунктом "в" підпункту 170.7.2 пункту 170.7 статті 170 Податкового кодексу України не включається до оподатковуваного доходу цільова або нецільова благодійна допомога, що надається платнику податку, який постраждав внаслідок збройної агресії Російської Федерації у період дії правового режиму воєнного, надзвичайного стану.</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1. </w:t>
      </w:r>
      <w:r w:rsidRPr="0039125C">
        <w:rPr>
          <w:rFonts w:ascii="Times New Roman" w:eastAsia="Times New Roman" w:hAnsi="Times New Roman"/>
          <w:i/>
          <w:iCs/>
          <w:sz w:val="28"/>
          <w:szCs w:val="28"/>
          <w:lang w:val="uk-UA"/>
        </w:rPr>
        <w:t>Щодо благодійної допомоги постраждалим внаслідок збройної агресії Російської Федерації у період дії правового режиму воєнного, сума якої не включається до загального місячного (річного) оподатковуваного доходу платника податку</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Станом на сьогодні законодавством не надано визначення правового терміну - "статус </w:t>
      </w:r>
      <w:proofErr w:type="spellStart"/>
      <w:r w:rsidRPr="0039125C">
        <w:rPr>
          <w:rFonts w:ascii="Times New Roman" w:eastAsia="Times New Roman" w:hAnsi="Times New Roman"/>
          <w:sz w:val="28"/>
          <w:szCs w:val="28"/>
          <w:lang w:val="uk-UA"/>
        </w:rPr>
        <w:t>постарждалого</w:t>
      </w:r>
      <w:proofErr w:type="spellEnd"/>
      <w:r w:rsidRPr="0039125C">
        <w:rPr>
          <w:rFonts w:ascii="Times New Roman" w:eastAsia="Times New Roman" w:hAnsi="Times New Roman"/>
          <w:sz w:val="28"/>
          <w:szCs w:val="28"/>
          <w:lang w:val="uk-UA"/>
        </w:rPr>
        <w:t xml:space="preserve"> внаслідок збройної агресії Російської Федерації у період дії правового режиму воєнного, надзвичайного стану".</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Однак, в розумінні норми підпункту "в" підпункту 165.1.54 пункту 165.1 статті 165 Податкового кодексу України платником податку, який постраждав внаслідок збройної агресії Російської Федерації у період дії правового режиму воєнного, надзвичайного стану, є - фізична особа, яка мешкає (мешкала) на території населених пунктів, де проводяться (проводилися) бойові дії, та/або яка вимушено покинула місце проживання у зв’язку з проведенням бойових дій у таких населених пунктах.</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lastRenderedPageBreak/>
        <w:t>Механізми підтвердження фактів мешкання особи на території населених пунктів, де проводяться (проводилися) бойові дії, а також обставин, які вимусили особу покинули місце проживання у зв’язку з проведенням бойових дій у таких населених пунктах визначено Законом України "Про забезпечення прав і свобод внутрішньо переміщених осіб".</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p>
    <w:p w:rsidR="172D81CB" w:rsidRPr="0039125C" w:rsidRDefault="172D81CB" w:rsidP="0039125C">
      <w:pPr>
        <w:spacing w:after="0" w:line="240" w:lineRule="auto"/>
        <w:ind w:firstLine="709"/>
        <w:jc w:val="both"/>
        <w:rPr>
          <w:rFonts w:ascii="Times New Roman" w:eastAsia="Times New Roman" w:hAnsi="Times New Roman"/>
          <w:i/>
          <w:iCs/>
          <w:sz w:val="28"/>
          <w:szCs w:val="28"/>
          <w:lang w:val="uk-UA"/>
        </w:rPr>
      </w:pPr>
      <w:r w:rsidRPr="0039125C">
        <w:rPr>
          <w:rFonts w:ascii="Times New Roman" w:eastAsia="Times New Roman" w:hAnsi="Times New Roman"/>
          <w:sz w:val="28"/>
          <w:szCs w:val="28"/>
          <w:lang w:val="uk-UA"/>
        </w:rPr>
        <w:t xml:space="preserve">2. </w:t>
      </w:r>
      <w:r w:rsidRPr="0039125C">
        <w:rPr>
          <w:rFonts w:ascii="Times New Roman" w:eastAsia="Times New Roman" w:hAnsi="Times New Roman"/>
          <w:i/>
          <w:iCs/>
          <w:sz w:val="28"/>
          <w:szCs w:val="28"/>
          <w:lang w:val="uk-UA"/>
        </w:rPr>
        <w:t>Щодо оподаткування грошової допомоги, виплаченою профспілкою її членам, постраждалим внаслідок збройної агресії Російської Федерації, у порядку визначеному Законом України “Про благодійну діяльність та благодійні організації”</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Згідно з частиною першою статті 4 Закону України “Про благодійну діяльність та благодійні організації” (далі - Закон №5073) </w:t>
      </w:r>
      <w:r w:rsidRPr="0039125C">
        <w:rPr>
          <w:rFonts w:ascii="Times New Roman" w:eastAsia="Times New Roman" w:hAnsi="Times New Roman"/>
          <w:sz w:val="28"/>
          <w:szCs w:val="28"/>
          <w:u w:val="single"/>
          <w:lang w:val="uk-UA"/>
        </w:rPr>
        <w:t>суб’єктами благодійної діяльності є</w:t>
      </w:r>
      <w:r w:rsidRPr="0039125C">
        <w:rPr>
          <w:rFonts w:ascii="Times New Roman" w:eastAsia="Times New Roman" w:hAnsi="Times New Roman"/>
          <w:sz w:val="28"/>
          <w:szCs w:val="28"/>
          <w:lang w:val="uk-UA"/>
        </w:rPr>
        <w:t xml:space="preserve"> благодійні організації, які утворені та діють відповідно до цього Закону, а також інші </w:t>
      </w:r>
      <w:r w:rsidRPr="0039125C">
        <w:rPr>
          <w:rFonts w:ascii="Times New Roman" w:eastAsia="Times New Roman" w:hAnsi="Times New Roman"/>
          <w:sz w:val="28"/>
          <w:szCs w:val="28"/>
          <w:u w:val="single"/>
          <w:lang w:val="uk-UA"/>
        </w:rPr>
        <w:t xml:space="preserve">благодійники та </w:t>
      </w:r>
      <w:proofErr w:type="spellStart"/>
      <w:r w:rsidRPr="0039125C">
        <w:rPr>
          <w:rFonts w:ascii="Times New Roman" w:eastAsia="Times New Roman" w:hAnsi="Times New Roman"/>
          <w:sz w:val="28"/>
          <w:szCs w:val="28"/>
          <w:u w:val="single"/>
          <w:lang w:val="uk-UA"/>
        </w:rPr>
        <w:t>бенефіціари</w:t>
      </w:r>
      <w:proofErr w:type="spellEnd"/>
      <w:r w:rsidRPr="0039125C">
        <w:rPr>
          <w:rFonts w:ascii="Times New Roman" w:eastAsia="Times New Roman" w:hAnsi="Times New Roman"/>
          <w:sz w:val="28"/>
          <w:szCs w:val="28"/>
          <w:lang w:val="uk-UA"/>
        </w:rPr>
        <w:t>.</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Пунктом 5 частини першої статті 1 Закону №5073 визначено, що </w:t>
      </w:r>
      <w:r w:rsidRPr="0039125C">
        <w:rPr>
          <w:rFonts w:ascii="Times New Roman" w:eastAsia="Times New Roman" w:hAnsi="Times New Roman"/>
          <w:sz w:val="28"/>
          <w:szCs w:val="28"/>
          <w:u w:val="single"/>
          <w:lang w:val="uk-UA"/>
        </w:rPr>
        <w:t>благодійник</w:t>
      </w:r>
      <w:r w:rsidRPr="0039125C">
        <w:rPr>
          <w:rFonts w:ascii="Times New Roman" w:eastAsia="Times New Roman" w:hAnsi="Times New Roman"/>
          <w:sz w:val="28"/>
          <w:szCs w:val="28"/>
          <w:lang w:val="uk-UA"/>
        </w:rPr>
        <w:t xml:space="preserve"> - дієздатна фізична особа або </w:t>
      </w:r>
      <w:r w:rsidRPr="0039125C">
        <w:rPr>
          <w:rFonts w:ascii="Times New Roman" w:eastAsia="Times New Roman" w:hAnsi="Times New Roman"/>
          <w:sz w:val="28"/>
          <w:szCs w:val="28"/>
          <w:u w:val="single"/>
          <w:lang w:val="uk-UA"/>
        </w:rPr>
        <w:t>юридична особа приватного права</w:t>
      </w:r>
      <w:r w:rsidRPr="0039125C">
        <w:rPr>
          <w:rFonts w:ascii="Times New Roman" w:eastAsia="Times New Roman" w:hAnsi="Times New Roman"/>
          <w:sz w:val="28"/>
          <w:szCs w:val="28"/>
          <w:lang w:val="uk-UA"/>
        </w:rPr>
        <w:t xml:space="preserve"> (у тому числі благодійна організація), </w:t>
      </w:r>
      <w:r w:rsidRPr="0039125C">
        <w:rPr>
          <w:rFonts w:ascii="Times New Roman" w:eastAsia="Times New Roman" w:hAnsi="Times New Roman"/>
          <w:sz w:val="28"/>
          <w:szCs w:val="28"/>
          <w:u w:val="single"/>
          <w:lang w:val="uk-UA"/>
        </w:rPr>
        <w:t>яка добровільно здійснює один чи декілька видів благодійної діяльності</w:t>
      </w:r>
      <w:r w:rsidRPr="0039125C">
        <w:rPr>
          <w:rFonts w:ascii="Times New Roman" w:eastAsia="Times New Roman" w:hAnsi="Times New Roman"/>
          <w:sz w:val="28"/>
          <w:szCs w:val="28"/>
          <w:lang w:val="uk-UA"/>
        </w:rPr>
        <w:t>.</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Відповідно до пункту 1 частини першої статті 5 Закону №5073 </w:t>
      </w:r>
      <w:r w:rsidRPr="0039125C">
        <w:rPr>
          <w:rFonts w:ascii="Times New Roman" w:eastAsia="Times New Roman" w:hAnsi="Times New Roman"/>
          <w:sz w:val="28"/>
          <w:szCs w:val="28"/>
          <w:u w:val="single"/>
          <w:lang w:val="uk-UA"/>
        </w:rPr>
        <w:t xml:space="preserve">благодійники можуть здійснювати благодійну діяльність у виді безоплатної передачі у власність </w:t>
      </w:r>
      <w:proofErr w:type="spellStart"/>
      <w:r w:rsidRPr="0039125C">
        <w:rPr>
          <w:rFonts w:ascii="Times New Roman" w:eastAsia="Times New Roman" w:hAnsi="Times New Roman"/>
          <w:sz w:val="28"/>
          <w:szCs w:val="28"/>
          <w:u w:val="single"/>
          <w:lang w:val="uk-UA"/>
        </w:rPr>
        <w:t>бенефіціарів</w:t>
      </w:r>
      <w:proofErr w:type="spellEnd"/>
      <w:r w:rsidRPr="0039125C">
        <w:rPr>
          <w:rFonts w:ascii="Times New Roman" w:eastAsia="Times New Roman" w:hAnsi="Times New Roman"/>
          <w:sz w:val="28"/>
          <w:szCs w:val="28"/>
          <w:u w:val="single"/>
          <w:lang w:val="uk-UA"/>
        </w:rPr>
        <w:t xml:space="preserve"> коштів</w:t>
      </w:r>
      <w:r w:rsidRPr="0039125C">
        <w:rPr>
          <w:rFonts w:ascii="Times New Roman" w:eastAsia="Times New Roman" w:hAnsi="Times New Roman"/>
          <w:sz w:val="28"/>
          <w:szCs w:val="28"/>
          <w:lang w:val="uk-UA"/>
        </w:rPr>
        <w:t xml:space="preserve">, іншого майна, а також безоплатне відступлення </w:t>
      </w:r>
      <w:proofErr w:type="spellStart"/>
      <w:r w:rsidRPr="0039125C">
        <w:rPr>
          <w:rFonts w:ascii="Times New Roman" w:eastAsia="Times New Roman" w:hAnsi="Times New Roman"/>
          <w:sz w:val="28"/>
          <w:szCs w:val="28"/>
          <w:lang w:val="uk-UA"/>
        </w:rPr>
        <w:t>бенефіціарам</w:t>
      </w:r>
      <w:proofErr w:type="spellEnd"/>
      <w:r w:rsidRPr="0039125C">
        <w:rPr>
          <w:rFonts w:ascii="Times New Roman" w:eastAsia="Times New Roman" w:hAnsi="Times New Roman"/>
          <w:sz w:val="28"/>
          <w:szCs w:val="28"/>
          <w:lang w:val="uk-UA"/>
        </w:rPr>
        <w:t xml:space="preserve"> майнових прав. </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Частиною першою статті 6 Закону №5073 визначено, що </w:t>
      </w:r>
      <w:r w:rsidRPr="0039125C">
        <w:rPr>
          <w:rFonts w:ascii="Times New Roman" w:eastAsia="Times New Roman" w:hAnsi="Times New Roman"/>
          <w:sz w:val="28"/>
          <w:szCs w:val="28"/>
          <w:u w:val="single"/>
          <w:lang w:val="uk-UA"/>
        </w:rPr>
        <w:t>безоплатна передача благодійником коштів</w:t>
      </w:r>
      <w:r w:rsidRPr="0039125C">
        <w:rPr>
          <w:rFonts w:ascii="Times New Roman" w:eastAsia="Times New Roman" w:hAnsi="Times New Roman"/>
          <w:sz w:val="28"/>
          <w:szCs w:val="28"/>
          <w:lang w:val="uk-UA"/>
        </w:rPr>
        <w:t xml:space="preserve">, іншого майна, майнових прав </w:t>
      </w:r>
      <w:r w:rsidRPr="0039125C">
        <w:rPr>
          <w:rFonts w:ascii="Times New Roman" w:eastAsia="Times New Roman" w:hAnsi="Times New Roman"/>
          <w:sz w:val="28"/>
          <w:szCs w:val="28"/>
          <w:u w:val="single"/>
          <w:lang w:val="uk-UA"/>
        </w:rPr>
        <w:t xml:space="preserve">у власність </w:t>
      </w:r>
      <w:proofErr w:type="spellStart"/>
      <w:r w:rsidRPr="0039125C">
        <w:rPr>
          <w:rFonts w:ascii="Times New Roman" w:eastAsia="Times New Roman" w:hAnsi="Times New Roman"/>
          <w:sz w:val="28"/>
          <w:szCs w:val="28"/>
          <w:u w:val="single"/>
          <w:lang w:val="uk-UA"/>
        </w:rPr>
        <w:t>бенефіціарів</w:t>
      </w:r>
      <w:proofErr w:type="spellEnd"/>
      <w:r w:rsidRPr="0039125C">
        <w:rPr>
          <w:rFonts w:ascii="Times New Roman" w:eastAsia="Times New Roman" w:hAnsi="Times New Roman"/>
          <w:sz w:val="28"/>
          <w:szCs w:val="28"/>
          <w:u w:val="single"/>
          <w:lang w:val="uk-UA"/>
        </w:rPr>
        <w:t xml:space="preserve"> для досягнення певних, наперед обумовлених цілей благодійної діяльності, відповідно до цього Закону, визнається - благодійною пожертвою</w:t>
      </w:r>
      <w:r w:rsidRPr="0039125C">
        <w:rPr>
          <w:rFonts w:ascii="Times New Roman" w:eastAsia="Times New Roman" w:hAnsi="Times New Roman"/>
          <w:sz w:val="28"/>
          <w:szCs w:val="28"/>
          <w:lang w:val="uk-UA"/>
        </w:rPr>
        <w:t>.</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Згідно з пунктом 1 частини першої цієї статті </w:t>
      </w:r>
      <w:proofErr w:type="spellStart"/>
      <w:r w:rsidRPr="0039125C">
        <w:rPr>
          <w:rFonts w:ascii="Times New Roman" w:eastAsia="Times New Roman" w:hAnsi="Times New Roman"/>
          <w:sz w:val="28"/>
          <w:szCs w:val="28"/>
          <w:u w:val="single"/>
          <w:lang w:val="uk-UA"/>
        </w:rPr>
        <w:t>бенефіціар</w:t>
      </w:r>
      <w:proofErr w:type="spellEnd"/>
      <w:r w:rsidRPr="0039125C">
        <w:rPr>
          <w:rFonts w:ascii="Times New Roman" w:eastAsia="Times New Roman" w:hAnsi="Times New Roman"/>
          <w:sz w:val="28"/>
          <w:szCs w:val="28"/>
          <w:u w:val="single"/>
          <w:lang w:val="uk-UA"/>
        </w:rPr>
        <w:t xml:space="preserve"> - набувач благодійної допомоги (фізична особа</w:t>
      </w:r>
      <w:r w:rsidRPr="0039125C">
        <w:rPr>
          <w:rFonts w:ascii="Times New Roman" w:eastAsia="Times New Roman" w:hAnsi="Times New Roman"/>
          <w:sz w:val="28"/>
          <w:szCs w:val="28"/>
          <w:lang w:val="uk-UA"/>
        </w:rPr>
        <w:t xml:space="preserve">, неприбуткова організація або територіальна громада), </w:t>
      </w:r>
      <w:r w:rsidRPr="0039125C">
        <w:rPr>
          <w:rFonts w:ascii="Times New Roman" w:eastAsia="Times New Roman" w:hAnsi="Times New Roman"/>
          <w:sz w:val="28"/>
          <w:szCs w:val="28"/>
          <w:u w:val="single"/>
          <w:lang w:val="uk-UA"/>
        </w:rPr>
        <w:t>що одержує допомогу від одного чи кількох благодійників для досягнення цілей, визначених цим Законом</w:t>
      </w:r>
      <w:r w:rsidRPr="0039125C">
        <w:rPr>
          <w:rFonts w:ascii="Times New Roman" w:eastAsia="Times New Roman" w:hAnsi="Times New Roman"/>
          <w:sz w:val="28"/>
          <w:szCs w:val="28"/>
          <w:lang w:val="uk-UA"/>
        </w:rPr>
        <w:t xml:space="preserve">. </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Частиною першою статті 3 Закону №5073 визначено, що </w:t>
      </w:r>
      <w:r w:rsidRPr="0039125C">
        <w:rPr>
          <w:rFonts w:ascii="Times New Roman" w:eastAsia="Times New Roman" w:hAnsi="Times New Roman"/>
          <w:sz w:val="28"/>
          <w:szCs w:val="28"/>
          <w:u w:val="single"/>
          <w:lang w:val="uk-UA"/>
        </w:rPr>
        <w:t xml:space="preserve">цілями благодійної діяльності є надання допомоги для сприяння законним інтересам </w:t>
      </w:r>
      <w:proofErr w:type="spellStart"/>
      <w:r w:rsidRPr="0039125C">
        <w:rPr>
          <w:rFonts w:ascii="Times New Roman" w:eastAsia="Times New Roman" w:hAnsi="Times New Roman"/>
          <w:sz w:val="28"/>
          <w:szCs w:val="28"/>
          <w:u w:val="single"/>
          <w:lang w:val="uk-UA"/>
        </w:rPr>
        <w:t>бенефіціарів</w:t>
      </w:r>
      <w:proofErr w:type="spellEnd"/>
      <w:r w:rsidRPr="0039125C">
        <w:rPr>
          <w:rFonts w:ascii="Times New Roman" w:eastAsia="Times New Roman" w:hAnsi="Times New Roman"/>
          <w:sz w:val="28"/>
          <w:szCs w:val="28"/>
          <w:u w:val="single"/>
          <w:lang w:val="uk-UA"/>
        </w:rPr>
        <w:t xml:space="preserve"> у сферах благодійної діяльності, визначених цим Законом</w:t>
      </w:r>
      <w:r w:rsidRPr="0039125C">
        <w:rPr>
          <w:rFonts w:ascii="Times New Roman" w:eastAsia="Times New Roman" w:hAnsi="Times New Roman"/>
          <w:sz w:val="28"/>
          <w:szCs w:val="28"/>
          <w:lang w:val="uk-UA"/>
        </w:rPr>
        <w:t>, а також розвиток і підтримка цих сфер у суспільних інтересах.</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Згідно з частиною другою цієї статті </w:t>
      </w:r>
      <w:r w:rsidRPr="0039125C">
        <w:rPr>
          <w:rFonts w:ascii="Times New Roman" w:eastAsia="Times New Roman" w:hAnsi="Times New Roman"/>
          <w:sz w:val="28"/>
          <w:szCs w:val="28"/>
          <w:u w:val="single"/>
          <w:lang w:val="uk-UA"/>
        </w:rPr>
        <w:t>сферою благодійної діяльності зокрема є допомога постраждалим збройних конфліктів, а також біженцям та особам, які перебувають у складних життєвих обставинах</w:t>
      </w:r>
      <w:r w:rsidRPr="0039125C">
        <w:rPr>
          <w:rFonts w:ascii="Times New Roman" w:eastAsia="Times New Roman" w:hAnsi="Times New Roman"/>
          <w:sz w:val="28"/>
          <w:szCs w:val="28"/>
          <w:lang w:val="uk-UA"/>
        </w:rPr>
        <w:t xml:space="preserve">. </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 xml:space="preserve">З вищевикладеного випливає, що </w:t>
      </w:r>
      <w:r w:rsidRPr="0039125C">
        <w:rPr>
          <w:rFonts w:ascii="Times New Roman" w:eastAsia="Times New Roman" w:hAnsi="Times New Roman"/>
          <w:b/>
          <w:bCs/>
          <w:sz w:val="28"/>
          <w:szCs w:val="28"/>
          <w:lang w:val="uk-UA"/>
        </w:rPr>
        <w:t>сума безоплатної грошової допомоги (благодійної пожертви) наданої професійною спілкою (благодійником) членам профспілки (</w:t>
      </w:r>
      <w:proofErr w:type="spellStart"/>
      <w:r w:rsidRPr="0039125C">
        <w:rPr>
          <w:rFonts w:ascii="Times New Roman" w:eastAsia="Times New Roman" w:hAnsi="Times New Roman"/>
          <w:b/>
          <w:bCs/>
          <w:sz w:val="28"/>
          <w:szCs w:val="28"/>
          <w:lang w:val="uk-UA"/>
        </w:rPr>
        <w:t>беніфіціарам</w:t>
      </w:r>
      <w:proofErr w:type="spellEnd"/>
      <w:r w:rsidRPr="0039125C">
        <w:rPr>
          <w:rFonts w:ascii="Times New Roman" w:eastAsia="Times New Roman" w:hAnsi="Times New Roman"/>
          <w:b/>
          <w:bCs/>
          <w:sz w:val="28"/>
          <w:szCs w:val="28"/>
          <w:lang w:val="uk-UA"/>
        </w:rPr>
        <w:t>), які протягом дії правового режиму воєнного, мешкають (мешкали) на території населених пунктів, де проводяться (проводилися) бойові дії, та/або які вимушено покинули місце проживання у зв’язку з проведенням бойових дій у таких населених пунктах, не включається до їх оподаткованого доходу</w:t>
      </w:r>
      <w:r w:rsidRPr="0039125C">
        <w:rPr>
          <w:rFonts w:ascii="Times New Roman" w:eastAsia="Times New Roman" w:hAnsi="Times New Roman"/>
          <w:sz w:val="28"/>
          <w:szCs w:val="28"/>
          <w:lang w:val="uk-UA"/>
        </w:rPr>
        <w:t>.</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lastRenderedPageBreak/>
        <w:t>При цьому, питання щодо розпорядження коштами та іншим майном, які знаходяться у власності профспілки, у тому числі для здійснення благодійної діяльності, вирішується профспілкою відповідно до її статутних документів.</w:t>
      </w:r>
    </w:p>
    <w:p w:rsidR="172D81CB" w:rsidRPr="0039125C" w:rsidRDefault="172D81CB" w:rsidP="0039125C">
      <w:pPr>
        <w:spacing w:after="0" w:line="240" w:lineRule="auto"/>
        <w:ind w:firstLine="709"/>
        <w:jc w:val="both"/>
        <w:rPr>
          <w:rFonts w:ascii="Times New Roman" w:eastAsia="Times New Roman" w:hAnsi="Times New Roman"/>
          <w:sz w:val="28"/>
          <w:szCs w:val="28"/>
          <w:lang w:val="uk-UA"/>
        </w:rPr>
      </w:pPr>
    </w:p>
    <w:p w:rsidR="5987D287" w:rsidRPr="008F4B0C" w:rsidRDefault="5987D287" w:rsidP="0039125C">
      <w:pPr>
        <w:spacing w:after="0" w:line="240" w:lineRule="auto"/>
        <w:ind w:firstLine="709"/>
        <w:jc w:val="both"/>
        <w:rPr>
          <w:rFonts w:ascii="Times New Roman" w:eastAsia="Times New Roman" w:hAnsi="Times New Roman"/>
          <w:b/>
          <w:sz w:val="28"/>
          <w:szCs w:val="28"/>
          <w:lang w:val="uk-UA"/>
        </w:rPr>
      </w:pPr>
      <w:r w:rsidRPr="008F4B0C">
        <w:rPr>
          <w:rFonts w:ascii="Times New Roman" w:eastAsia="Times New Roman" w:hAnsi="Times New Roman"/>
          <w:b/>
          <w:sz w:val="28"/>
          <w:szCs w:val="28"/>
          <w:lang w:val="uk-UA"/>
        </w:rPr>
        <w:t>З огляду на все вищевикладене, підстав для звернення до суб'єктів законодавчої ініціативи щодо внесення змін до Податкового кодексу України з метою додаткового впорядкування умов оподаткування профспілкової виплати у формі благодійної пожертви не вбачаємо.</w:t>
      </w:r>
    </w:p>
    <w:p w:rsidR="5987D287" w:rsidRPr="0039125C" w:rsidRDefault="5987D287" w:rsidP="0039125C">
      <w:pPr>
        <w:spacing w:after="0" w:line="240" w:lineRule="auto"/>
        <w:ind w:firstLine="709"/>
        <w:jc w:val="both"/>
        <w:rPr>
          <w:rFonts w:ascii="Times New Roman" w:eastAsia="Times New Roman" w:hAnsi="Times New Roman"/>
          <w:sz w:val="28"/>
          <w:szCs w:val="28"/>
          <w:lang w:val="uk-UA"/>
        </w:rPr>
      </w:pPr>
    </w:p>
    <w:p w:rsidR="172D81CB" w:rsidRPr="0039125C" w:rsidRDefault="5987D287"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З метою недопущення можливих непорозумінь з органом ДПС щодо застосування зазначених норм Податкового кодексу пропонуємо зацікавленому податковому агенту отримати відповідну індивідуальну податкову консультацію.</w:t>
      </w:r>
    </w:p>
    <w:p w:rsidR="172D81CB" w:rsidRPr="0039125C" w:rsidRDefault="5987D287" w:rsidP="0039125C">
      <w:pPr>
        <w:spacing w:after="0" w:line="240" w:lineRule="auto"/>
        <w:ind w:firstLine="709"/>
        <w:jc w:val="both"/>
        <w:rPr>
          <w:rFonts w:ascii="Times New Roman" w:eastAsia="Times New Roman" w:hAnsi="Times New Roman"/>
          <w:sz w:val="28"/>
          <w:szCs w:val="28"/>
          <w:lang w:val="uk-UA"/>
        </w:rPr>
      </w:pPr>
      <w:r w:rsidRPr="0039125C">
        <w:rPr>
          <w:rFonts w:ascii="Times New Roman" w:eastAsia="Times New Roman" w:hAnsi="Times New Roman"/>
          <w:sz w:val="28"/>
          <w:szCs w:val="28"/>
          <w:lang w:val="uk-UA"/>
        </w:rPr>
        <w:t>Порядок отримання індивідуальних податкових консультацій визначено главою 3 Розділу ІІ Податкового кодексу України.</w:t>
      </w:r>
    </w:p>
    <w:p w:rsidR="008F4B0C" w:rsidRDefault="008F4B0C" w:rsidP="008F4B0C">
      <w:pPr>
        <w:spacing w:before="120" w:after="0" w:line="240" w:lineRule="auto"/>
        <w:jc w:val="right"/>
        <w:rPr>
          <w:rFonts w:ascii="Times New Roman" w:eastAsia="Times New Roman" w:hAnsi="Times New Roman"/>
          <w:sz w:val="28"/>
          <w:szCs w:val="28"/>
          <w:lang w:val="uk-UA"/>
        </w:rPr>
      </w:pPr>
    </w:p>
    <w:p w:rsidR="0039125C" w:rsidRPr="008F4B0C" w:rsidRDefault="008F4B0C" w:rsidP="008F4B0C">
      <w:pPr>
        <w:spacing w:before="120" w:after="0" w:line="240" w:lineRule="auto"/>
        <w:jc w:val="right"/>
        <w:rPr>
          <w:rFonts w:ascii="Times New Roman" w:eastAsia="Times New Roman" w:hAnsi="Times New Roman"/>
          <w:b/>
          <w:sz w:val="24"/>
          <w:szCs w:val="24"/>
          <w:lang w:val="uk-UA"/>
        </w:rPr>
      </w:pPr>
      <w:bookmarkStart w:id="0" w:name="_GoBack"/>
      <w:bookmarkEnd w:id="0"/>
      <w:r w:rsidRPr="008F4B0C">
        <w:rPr>
          <w:rFonts w:ascii="Times New Roman" w:eastAsia="Times New Roman" w:hAnsi="Times New Roman"/>
          <w:b/>
          <w:sz w:val="28"/>
          <w:szCs w:val="28"/>
          <w:lang w:val="uk-UA"/>
        </w:rPr>
        <w:t>Департамент правового захисту</w:t>
      </w:r>
      <w:r w:rsidRPr="008F4B0C">
        <w:rPr>
          <w:rFonts w:ascii="Times New Roman" w:eastAsia="Times New Roman" w:hAnsi="Times New Roman"/>
          <w:b/>
          <w:sz w:val="28"/>
          <w:szCs w:val="28"/>
          <w:lang w:val="uk-UA"/>
        </w:rPr>
        <w:t xml:space="preserve"> ФПУ</w:t>
      </w:r>
    </w:p>
    <w:sectPr w:rsidR="0039125C" w:rsidRPr="008F4B0C" w:rsidSect="0039125C">
      <w:pgSz w:w="11906" w:h="16838"/>
      <w:pgMar w:top="850" w:right="567"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56D3"/>
    <w:multiLevelType w:val="hybridMultilevel"/>
    <w:tmpl w:val="4508CA52"/>
    <w:lvl w:ilvl="0" w:tplc="6046D990">
      <w:start w:val="1"/>
      <w:numFmt w:val="decimal"/>
      <w:lvlText w:val="%1."/>
      <w:lvlJc w:val="left"/>
      <w:pPr>
        <w:ind w:left="720" w:hanging="360"/>
      </w:pPr>
    </w:lvl>
    <w:lvl w:ilvl="1" w:tplc="F4A853B6">
      <w:start w:val="1"/>
      <w:numFmt w:val="lowerLetter"/>
      <w:lvlText w:val="%2."/>
      <w:lvlJc w:val="left"/>
      <w:pPr>
        <w:ind w:left="1440" w:hanging="360"/>
      </w:pPr>
    </w:lvl>
    <w:lvl w:ilvl="2" w:tplc="E102C762">
      <w:start w:val="1"/>
      <w:numFmt w:val="lowerRoman"/>
      <w:lvlText w:val="%3."/>
      <w:lvlJc w:val="right"/>
      <w:pPr>
        <w:ind w:left="2160" w:hanging="180"/>
      </w:pPr>
    </w:lvl>
    <w:lvl w:ilvl="3" w:tplc="770216F0">
      <w:start w:val="1"/>
      <w:numFmt w:val="decimal"/>
      <w:lvlText w:val="%4."/>
      <w:lvlJc w:val="left"/>
      <w:pPr>
        <w:ind w:left="2880" w:hanging="360"/>
      </w:pPr>
    </w:lvl>
    <w:lvl w:ilvl="4" w:tplc="482AED4C">
      <w:start w:val="1"/>
      <w:numFmt w:val="lowerLetter"/>
      <w:lvlText w:val="%5."/>
      <w:lvlJc w:val="left"/>
      <w:pPr>
        <w:ind w:left="3600" w:hanging="360"/>
      </w:pPr>
    </w:lvl>
    <w:lvl w:ilvl="5" w:tplc="2A102E4A">
      <w:start w:val="1"/>
      <w:numFmt w:val="lowerRoman"/>
      <w:lvlText w:val="%6."/>
      <w:lvlJc w:val="right"/>
      <w:pPr>
        <w:ind w:left="4320" w:hanging="180"/>
      </w:pPr>
    </w:lvl>
    <w:lvl w:ilvl="6" w:tplc="180E0EC8">
      <w:start w:val="1"/>
      <w:numFmt w:val="decimal"/>
      <w:lvlText w:val="%7."/>
      <w:lvlJc w:val="left"/>
      <w:pPr>
        <w:ind w:left="5040" w:hanging="360"/>
      </w:pPr>
    </w:lvl>
    <w:lvl w:ilvl="7" w:tplc="95E4C4B0">
      <w:start w:val="1"/>
      <w:numFmt w:val="lowerLetter"/>
      <w:lvlText w:val="%8."/>
      <w:lvlJc w:val="left"/>
      <w:pPr>
        <w:ind w:left="5760" w:hanging="360"/>
      </w:pPr>
    </w:lvl>
    <w:lvl w:ilvl="8" w:tplc="18A60538">
      <w:start w:val="1"/>
      <w:numFmt w:val="lowerRoman"/>
      <w:lvlText w:val="%9."/>
      <w:lvlJc w:val="right"/>
      <w:pPr>
        <w:ind w:left="6480" w:hanging="180"/>
      </w:pPr>
    </w:lvl>
  </w:abstractNum>
  <w:abstractNum w:abstractNumId="1">
    <w:nsid w:val="42113928"/>
    <w:multiLevelType w:val="hybridMultilevel"/>
    <w:tmpl w:val="14CC4A3A"/>
    <w:lvl w:ilvl="0" w:tplc="F9C23F88">
      <w:start w:val="1"/>
      <w:numFmt w:val="decimal"/>
      <w:lvlText w:val="%1."/>
      <w:lvlJc w:val="left"/>
      <w:pPr>
        <w:ind w:left="720" w:hanging="360"/>
      </w:pPr>
    </w:lvl>
    <w:lvl w:ilvl="1" w:tplc="C544728C">
      <w:start w:val="1"/>
      <w:numFmt w:val="lowerLetter"/>
      <w:lvlText w:val="%2."/>
      <w:lvlJc w:val="left"/>
      <w:pPr>
        <w:ind w:left="1440" w:hanging="360"/>
      </w:pPr>
    </w:lvl>
    <w:lvl w:ilvl="2" w:tplc="D884FB96">
      <w:start w:val="1"/>
      <w:numFmt w:val="lowerRoman"/>
      <w:lvlText w:val="%3."/>
      <w:lvlJc w:val="right"/>
      <w:pPr>
        <w:ind w:left="2160" w:hanging="180"/>
      </w:pPr>
    </w:lvl>
    <w:lvl w:ilvl="3" w:tplc="3EDC0AEE">
      <w:start w:val="1"/>
      <w:numFmt w:val="decimal"/>
      <w:lvlText w:val="%4."/>
      <w:lvlJc w:val="left"/>
      <w:pPr>
        <w:ind w:left="2880" w:hanging="360"/>
      </w:pPr>
    </w:lvl>
    <w:lvl w:ilvl="4" w:tplc="9F0AC578">
      <w:start w:val="1"/>
      <w:numFmt w:val="lowerLetter"/>
      <w:lvlText w:val="%5."/>
      <w:lvlJc w:val="left"/>
      <w:pPr>
        <w:ind w:left="3600" w:hanging="360"/>
      </w:pPr>
    </w:lvl>
    <w:lvl w:ilvl="5" w:tplc="2342F4B6">
      <w:start w:val="1"/>
      <w:numFmt w:val="lowerRoman"/>
      <w:lvlText w:val="%6."/>
      <w:lvlJc w:val="right"/>
      <w:pPr>
        <w:ind w:left="4320" w:hanging="180"/>
      </w:pPr>
    </w:lvl>
    <w:lvl w:ilvl="6" w:tplc="B0C0665A">
      <w:start w:val="1"/>
      <w:numFmt w:val="decimal"/>
      <w:lvlText w:val="%7."/>
      <w:lvlJc w:val="left"/>
      <w:pPr>
        <w:ind w:left="5040" w:hanging="360"/>
      </w:pPr>
    </w:lvl>
    <w:lvl w:ilvl="7" w:tplc="12D6DE2C">
      <w:start w:val="1"/>
      <w:numFmt w:val="lowerLetter"/>
      <w:lvlText w:val="%8."/>
      <w:lvlJc w:val="left"/>
      <w:pPr>
        <w:ind w:left="5760" w:hanging="360"/>
      </w:pPr>
    </w:lvl>
    <w:lvl w:ilvl="8" w:tplc="D68EB0D6">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B59B3"/>
    <w:rsid w:val="0039125C"/>
    <w:rsid w:val="006E2CB8"/>
    <w:rsid w:val="008F4B0C"/>
    <w:rsid w:val="00A16557"/>
    <w:rsid w:val="00BA778F"/>
    <w:rsid w:val="172D81CB"/>
    <w:rsid w:val="1C5B59B3"/>
    <w:rsid w:val="5987D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B8"/>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B8"/>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Селіванов Георгій</dc:creator>
  <cp:lastModifiedBy>Людмила</cp:lastModifiedBy>
  <cp:revision>3</cp:revision>
  <dcterms:created xsi:type="dcterms:W3CDTF">2022-04-25T13:30:00Z</dcterms:created>
  <dcterms:modified xsi:type="dcterms:W3CDTF">2022-04-26T14:57:00Z</dcterms:modified>
</cp:coreProperties>
</file>